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AB4AB" w14:textId="77777777" w:rsidR="00DC0623" w:rsidRDefault="00DC0623">
      <w:pPr>
        <w:rPr>
          <w:b/>
          <w:bCs/>
          <w:sz w:val="44"/>
          <w:szCs w:val="44"/>
        </w:rPr>
      </w:pPr>
    </w:p>
    <w:p w14:paraId="08E1CA08" w14:textId="77777777" w:rsidR="00DC0623" w:rsidRDefault="00531347">
      <w:pPr>
        <w:jc w:val="center"/>
        <w:rPr>
          <w:b/>
          <w:bCs/>
          <w:sz w:val="44"/>
          <w:szCs w:val="44"/>
        </w:rPr>
      </w:pPr>
      <w:r>
        <w:rPr>
          <w:rFonts w:hint="eastAsia"/>
          <w:b/>
          <w:bCs/>
          <w:sz w:val="44"/>
          <w:szCs w:val="44"/>
        </w:rPr>
        <w:t>院士工作站建设需求信息表</w:t>
      </w:r>
    </w:p>
    <w:tbl>
      <w:tblPr>
        <w:tblStyle w:val="a7"/>
        <w:tblpPr w:leftFromText="180" w:rightFromText="180" w:vertAnchor="text" w:horzAnchor="page" w:tblpX="1163" w:tblpY="546"/>
        <w:tblOverlap w:val="never"/>
        <w:tblW w:w="9828" w:type="dxa"/>
        <w:tblLook w:val="04A0" w:firstRow="1" w:lastRow="0" w:firstColumn="1" w:lastColumn="0" w:noHBand="0" w:noVBand="1"/>
      </w:tblPr>
      <w:tblGrid>
        <w:gridCol w:w="2518"/>
        <w:gridCol w:w="2492"/>
        <w:gridCol w:w="768"/>
        <w:gridCol w:w="1510"/>
        <w:gridCol w:w="333"/>
        <w:gridCol w:w="2207"/>
      </w:tblGrid>
      <w:tr w:rsidR="00DC0623" w14:paraId="0E6994A3" w14:textId="77777777">
        <w:trPr>
          <w:trHeight w:val="1190"/>
        </w:trPr>
        <w:tc>
          <w:tcPr>
            <w:tcW w:w="2518" w:type="dxa"/>
            <w:vAlign w:val="center"/>
          </w:tcPr>
          <w:p w14:paraId="59105A70" w14:textId="77777777" w:rsidR="00DC0623" w:rsidRDefault="00531347">
            <w:pPr>
              <w:jc w:val="center"/>
              <w:rPr>
                <w:rFonts w:asciiTheme="minorEastAsia" w:hAnsiTheme="minorEastAsia" w:cstheme="minorEastAsia"/>
                <w:sz w:val="32"/>
                <w:szCs w:val="32"/>
              </w:rPr>
            </w:pPr>
            <w:r>
              <w:rPr>
                <w:rFonts w:asciiTheme="minorEastAsia" w:hAnsiTheme="minorEastAsia" w:cstheme="minorEastAsia" w:hint="eastAsia"/>
                <w:sz w:val="32"/>
                <w:szCs w:val="32"/>
              </w:rPr>
              <w:t>企业名称</w:t>
            </w:r>
          </w:p>
        </w:tc>
        <w:tc>
          <w:tcPr>
            <w:tcW w:w="2492" w:type="dxa"/>
            <w:vAlign w:val="center"/>
          </w:tcPr>
          <w:p w14:paraId="636A6A1B" w14:textId="77777777" w:rsidR="00DC0623" w:rsidRDefault="00531347" w:rsidP="00F041A9">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胜利通海油田服务股份有限公司</w:t>
            </w:r>
          </w:p>
        </w:tc>
        <w:tc>
          <w:tcPr>
            <w:tcW w:w="2278" w:type="dxa"/>
            <w:gridSpan w:val="2"/>
            <w:vAlign w:val="center"/>
          </w:tcPr>
          <w:p w14:paraId="04756B79" w14:textId="77777777" w:rsidR="00DC0623" w:rsidRDefault="00531347" w:rsidP="00F041A9">
            <w:pPr>
              <w:spacing w:line="500" w:lineRule="exact"/>
              <w:jc w:val="center"/>
              <w:rPr>
                <w:rFonts w:asciiTheme="minorEastAsia" w:hAnsiTheme="minorEastAsia" w:cstheme="minorEastAsia"/>
                <w:sz w:val="32"/>
                <w:szCs w:val="32"/>
              </w:rPr>
            </w:pPr>
            <w:r>
              <w:rPr>
                <w:rFonts w:asciiTheme="minorEastAsia" w:hAnsiTheme="minorEastAsia" w:cstheme="minorEastAsia" w:hint="eastAsia"/>
                <w:sz w:val="32"/>
                <w:szCs w:val="32"/>
              </w:rPr>
              <w:t>企业地址</w:t>
            </w:r>
          </w:p>
        </w:tc>
        <w:tc>
          <w:tcPr>
            <w:tcW w:w="2540" w:type="dxa"/>
            <w:gridSpan w:val="2"/>
            <w:vAlign w:val="center"/>
          </w:tcPr>
          <w:p w14:paraId="27A8B662" w14:textId="77777777" w:rsidR="00DC0623" w:rsidRDefault="00531347" w:rsidP="00F041A9">
            <w:pPr>
              <w:spacing w:line="500" w:lineRule="exact"/>
              <w:jc w:val="center"/>
              <w:rPr>
                <w:rFonts w:asciiTheme="minorEastAsia" w:hAnsiTheme="minorEastAsia" w:cstheme="minorEastAsia"/>
                <w:sz w:val="32"/>
                <w:szCs w:val="32"/>
              </w:rPr>
            </w:pPr>
            <w:r>
              <w:rPr>
                <w:rFonts w:asciiTheme="minorEastAsia" w:hAnsiTheme="minorEastAsia" w:cstheme="minorEastAsia" w:hint="eastAsia"/>
                <w:sz w:val="28"/>
                <w:szCs w:val="28"/>
              </w:rPr>
              <w:t>东营市河口区黄河路</w:t>
            </w:r>
            <w:r>
              <w:rPr>
                <w:rFonts w:asciiTheme="minorEastAsia" w:hAnsiTheme="minorEastAsia" w:cstheme="minorEastAsia" w:hint="eastAsia"/>
                <w:sz w:val="28"/>
                <w:szCs w:val="28"/>
              </w:rPr>
              <w:t>97</w:t>
            </w:r>
            <w:r>
              <w:rPr>
                <w:rFonts w:asciiTheme="minorEastAsia" w:hAnsiTheme="minorEastAsia" w:cstheme="minorEastAsia" w:hint="eastAsia"/>
                <w:sz w:val="28"/>
                <w:szCs w:val="28"/>
              </w:rPr>
              <w:t>号</w:t>
            </w:r>
          </w:p>
        </w:tc>
      </w:tr>
      <w:tr w:rsidR="00DC0623" w14:paraId="4FAD5B1A" w14:textId="77777777">
        <w:trPr>
          <w:trHeight w:val="1203"/>
        </w:trPr>
        <w:tc>
          <w:tcPr>
            <w:tcW w:w="2518" w:type="dxa"/>
            <w:vAlign w:val="center"/>
          </w:tcPr>
          <w:p w14:paraId="0377EC30" w14:textId="77777777" w:rsidR="00DC0623" w:rsidRDefault="00531347">
            <w:pPr>
              <w:jc w:val="center"/>
              <w:rPr>
                <w:rFonts w:asciiTheme="minorEastAsia" w:hAnsiTheme="minorEastAsia" w:cstheme="minorEastAsia"/>
                <w:sz w:val="32"/>
                <w:szCs w:val="32"/>
              </w:rPr>
            </w:pPr>
            <w:r>
              <w:rPr>
                <w:rFonts w:asciiTheme="minorEastAsia" w:hAnsiTheme="minorEastAsia" w:cstheme="minorEastAsia" w:hint="eastAsia"/>
                <w:sz w:val="32"/>
                <w:szCs w:val="32"/>
              </w:rPr>
              <w:t>企业联系人姓名及职务</w:t>
            </w:r>
          </w:p>
        </w:tc>
        <w:tc>
          <w:tcPr>
            <w:tcW w:w="2492" w:type="dxa"/>
            <w:vAlign w:val="center"/>
          </w:tcPr>
          <w:p w14:paraId="2AAC9F0B" w14:textId="77777777" w:rsidR="00DC0623" w:rsidRDefault="00531347" w:rsidP="00F041A9">
            <w:pPr>
              <w:spacing w:line="500" w:lineRule="exact"/>
              <w:jc w:val="center"/>
              <w:rPr>
                <w:rFonts w:asciiTheme="minorEastAsia" w:hAnsiTheme="minorEastAsia" w:cstheme="minorEastAsia"/>
                <w:sz w:val="32"/>
                <w:szCs w:val="32"/>
              </w:rPr>
            </w:pPr>
            <w:r>
              <w:rPr>
                <w:rFonts w:asciiTheme="minorEastAsia" w:hAnsiTheme="minorEastAsia" w:cstheme="minorEastAsia" w:hint="eastAsia"/>
                <w:sz w:val="28"/>
                <w:szCs w:val="28"/>
              </w:rPr>
              <w:t>崔金鑫</w:t>
            </w:r>
            <w:bookmarkStart w:id="0" w:name="_GoBack"/>
            <w:bookmarkEnd w:id="0"/>
          </w:p>
        </w:tc>
        <w:tc>
          <w:tcPr>
            <w:tcW w:w="2278" w:type="dxa"/>
            <w:gridSpan w:val="2"/>
            <w:vAlign w:val="center"/>
          </w:tcPr>
          <w:p w14:paraId="3B5E25EA" w14:textId="77777777" w:rsidR="00DC0623" w:rsidRDefault="00531347" w:rsidP="00F041A9">
            <w:pPr>
              <w:spacing w:line="500" w:lineRule="exact"/>
              <w:jc w:val="center"/>
              <w:rPr>
                <w:rFonts w:asciiTheme="minorEastAsia" w:hAnsiTheme="minorEastAsia" w:cstheme="minorEastAsia"/>
                <w:sz w:val="32"/>
                <w:szCs w:val="32"/>
              </w:rPr>
            </w:pPr>
            <w:r>
              <w:rPr>
                <w:rFonts w:asciiTheme="minorEastAsia" w:hAnsiTheme="minorEastAsia" w:cstheme="minorEastAsia" w:hint="eastAsia"/>
                <w:sz w:val="32"/>
                <w:szCs w:val="32"/>
              </w:rPr>
              <w:t>联系人电话</w:t>
            </w:r>
          </w:p>
        </w:tc>
        <w:tc>
          <w:tcPr>
            <w:tcW w:w="2540" w:type="dxa"/>
            <w:gridSpan w:val="2"/>
            <w:vAlign w:val="center"/>
          </w:tcPr>
          <w:p w14:paraId="25E14F56" w14:textId="77777777" w:rsidR="00DC0623" w:rsidRDefault="00531347" w:rsidP="00F041A9">
            <w:pPr>
              <w:spacing w:line="500" w:lineRule="exact"/>
              <w:jc w:val="center"/>
              <w:rPr>
                <w:rFonts w:asciiTheme="minorEastAsia" w:hAnsiTheme="minorEastAsia" w:cstheme="minorEastAsia"/>
                <w:sz w:val="32"/>
                <w:szCs w:val="32"/>
              </w:rPr>
            </w:pPr>
            <w:r>
              <w:rPr>
                <w:rFonts w:asciiTheme="minorEastAsia" w:hAnsiTheme="minorEastAsia" w:cstheme="minorEastAsia" w:hint="eastAsia"/>
                <w:sz w:val="28"/>
                <w:szCs w:val="28"/>
              </w:rPr>
              <w:t>8679241</w:t>
            </w:r>
          </w:p>
        </w:tc>
      </w:tr>
      <w:tr w:rsidR="00DC0623" w14:paraId="25F81B3D" w14:textId="77777777">
        <w:trPr>
          <w:trHeight w:val="1503"/>
        </w:trPr>
        <w:tc>
          <w:tcPr>
            <w:tcW w:w="2518" w:type="dxa"/>
            <w:vAlign w:val="center"/>
          </w:tcPr>
          <w:p w14:paraId="488CCB83" w14:textId="77777777" w:rsidR="00DC0623" w:rsidRDefault="00531347">
            <w:pPr>
              <w:jc w:val="center"/>
              <w:rPr>
                <w:rFonts w:asciiTheme="minorEastAsia" w:hAnsiTheme="minorEastAsia" w:cstheme="minorEastAsia"/>
                <w:sz w:val="32"/>
                <w:szCs w:val="32"/>
              </w:rPr>
            </w:pPr>
            <w:r>
              <w:rPr>
                <w:rFonts w:asciiTheme="minorEastAsia" w:hAnsiTheme="minorEastAsia" w:cstheme="minorEastAsia" w:hint="eastAsia"/>
                <w:sz w:val="32"/>
                <w:szCs w:val="32"/>
              </w:rPr>
              <w:t>企业所属领域</w:t>
            </w:r>
          </w:p>
        </w:tc>
        <w:tc>
          <w:tcPr>
            <w:tcW w:w="7310" w:type="dxa"/>
            <w:gridSpan w:val="5"/>
            <w:vAlign w:val="center"/>
          </w:tcPr>
          <w:p w14:paraId="5C683CFA" w14:textId="77777777" w:rsidR="00DC0623" w:rsidRDefault="00531347" w:rsidP="00F041A9">
            <w:pPr>
              <w:spacing w:line="500" w:lineRule="exact"/>
              <w:jc w:val="center"/>
              <w:rPr>
                <w:rFonts w:asciiTheme="minorEastAsia" w:hAnsiTheme="minorEastAsia" w:cstheme="minorEastAsia"/>
                <w:sz w:val="32"/>
                <w:szCs w:val="32"/>
              </w:rPr>
            </w:pPr>
            <w:r>
              <w:rPr>
                <w:rFonts w:asciiTheme="minorEastAsia" w:hAnsiTheme="minorEastAsia" w:cstheme="minorEastAsia" w:hint="eastAsia"/>
                <w:sz w:val="28"/>
                <w:szCs w:val="28"/>
              </w:rPr>
              <w:t>油气开发解决，石油装备，精细化工，石油技术服务，节能环保、新能源综合利用，</w:t>
            </w:r>
          </w:p>
        </w:tc>
      </w:tr>
      <w:tr w:rsidR="00DC0623" w14:paraId="71BF49C8" w14:textId="77777777">
        <w:trPr>
          <w:trHeight w:val="2357"/>
        </w:trPr>
        <w:tc>
          <w:tcPr>
            <w:tcW w:w="2518" w:type="dxa"/>
            <w:vAlign w:val="center"/>
          </w:tcPr>
          <w:p w14:paraId="3A39B386" w14:textId="77777777" w:rsidR="00DC0623" w:rsidRDefault="00531347">
            <w:pPr>
              <w:jc w:val="center"/>
              <w:rPr>
                <w:rFonts w:asciiTheme="minorEastAsia" w:hAnsiTheme="minorEastAsia" w:cstheme="minorEastAsia"/>
                <w:sz w:val="32"/>
                <w:szCs w:val="32"/>
              </w:rPr>
            </w:pPr>
            <w:r>
              <w:rPr>
                <w:rFonts w:asciiTheme="minorEastAsia" w:hAnsiTheme="minorEastAsia" w:cstheme="minorEastAsia" w:hint="eastAsia"/>
                <w:sz w:val="32"/>
                <w:szCs w:val="32"/>
              </w:rPr>
              <w:t>急需解决的技术难题、联合研发方向及院士需求</w:t>
            </w:r>
          </w:p>
        </w:tc>
        <w:tc>
          <w:tcPr>
            <w:tcW w:w="7310" w:type="dxa"/>
            <w:gridSpan w:val="5"/>
            <w:vAlign w:val="center"/>
          </w:tcPr>
          <w:p w14:paraId="52A8F6A4" w14:textId="77777777" w:rsidR="00DC0623" w:rsidRDefault="00531347">
            <w:pPr>
              <w:numPr>
                <w:ilvl w:val="0"/>
                <w:numId w:val="1"/>
              </w:numPr>
              <w:rPr>
                <w:rFonts w:asciiTheme="minorEastAsia" w:hAnsiTheme="minorEastAsia" w:cstheme="minorEastAsia"/>
                <w:szCs w:val="21"/>
              </w:rPr>
            </w:pPr>
            <w:r>
              <w:rPr>
                <w:rFonts w:asciiTheme="minorEastAsia" w:hAnsiTheme="minorEastAsia" w:cstheme="minorEastAsia" w:hint="eastAsia"/>
                <w:szCs w:val="21"/>
              </w:rPr>
              <w:t>低成本的脱硫脱碳技术。</w:t>
            </w:r>
          </w:p>
          <w:p w14:paraId="370ADF0D" w14:textId="77777777" w:rsidR="00DC0623" w:rsidRDefault="00531347">
            <w:pPr>
              <w:numPr>
                <w:ilvl w:val="0"/>
                <w:numId w:val="1"/>
              </w:numPr>
              <w:rPr>
                <w:rFonts w:asciiTheme="minorEastAsia" w:hAnsiTheme="minorEastAsia" w:cstheme="minorEastAsia"/>
                <w:szCs w:val="21"/>
              </w:rPr>
            </w:pPr>
            <w:r>
              <w:rPr>
                <w:rFonts w:asciiTheme="minorEastAsia" w:hAnsiTheme="minorEastAsia" w:cstheme="minorEastAsia" w:hint="eastAsia"/>
                <w:szCs w:val="21"/>
              </w:rPr>
              <w:t>油田专用油管、设备压力容器等的内壁防腐技术。（效果好，成本低）</w:t>
            </w:r>
          </w:p>
          <w:p w14:paraId="371BB7A9" w14:textId="77777777" w:rsidR="00DC0623" w:rsidRDefault="00531347">
            <w:pPr>
              <w:numPr>
                <w:ilvl w:val="0"/>
                <w:numId w:val="1"/>
              </w:numPr>
              <w:rPr>
                <w:rFonts w:asciiTheme="minorEastAsia" w:hAnsiTheme="minorEastAsia" w:cstheme="minorEastAsia"/>
                <w:szCs w:val="21"/>
              </w:rPr>
            </w:pPr>
            <w:r>
              <w:rPr>
                <w:rFonts w:asciiTheme="minorEastAsia" w:hAnsiTheme="minorEastAsia" w:cstheme="minorEastAsia" w:hint="eastAsia"/>
                <w:szCs w:val="21"/>
              </w:rPr>
              <w:t>油井的增产措施。</w:t>
            </w:r>
          </w:p>
          <w:p w14:paraId="3D61A23D" w14:textId="77777777" w:rsidR="00DC0623" w:rsidRDefault="00531347">
            <w:pPr>
              <w:numPr>
                <w:ilvl w:val="0"/>
                <w:numId w:val="1"/>
              </w:numPr>
              <w:rPr>
                <w:rFonts w:asciiTheme="minorEastAsia" w:hAnsiTheme="minorEastAsia" w:cstheme="minorEastAsia"/>
                <w:szCs w:val="21"/>
              </w:rPr>
            </w:pPr>
            <w:r>
              <w:rPr>
                <w:rFonts w:asciiTheme="minorEastAsia" w:hAnsiTheme="minorEastAsia" w:cstheme="minorEastAsia" w:hint="eastAsia"/>
                <w:szCs w:val="21"/>
              </w:rPr>
              <w:t>稠油方面：（</w:t>
            </w:r>
            <w:r>
              <w:rPr>
                <w:rFonts w:asciiTheme="minorEastAsia" w:hAnsiTheme="minorEastAsia" w:cstheme="minorEastAsia" w:hint="eastAsia"/>
                <w:szCs w:val="21"/>
              </w:rPr>
              <w:t>1</w:t>
            </w:r>
            <w:r>
              <w:rPr>
                <w:rFonts w:asciiTheme="minorEastAsia" w:hAnsiTheme="minorEastAsia" w:cstheme="minorEastAsia" w:hint="eastAsia"/>
                <w:szCs w:val="21"/>
              </w:rPr>
              <w:t>）稠油多轮次热采吞吐后期稳产技术（</w:t>
            </w:r>
            <w:r>
              <w:rPr>
                <w:rFonts w:asciiTheme="minorEastAsia" w:hAnsiTheme="minorEastAsia" w:cstheme="minorEastAsia" w:hint="eastAsia"/>
                <w:szCs w:val="21"/>
              </w:rPr>
              <w:t>2</w:t>
            </w:r>
            <w:r>
              <w:rPr>
                <w:rFonts w:asciiTheme="minorEastAsia" w:hAnsiTheme="minorEastAsia" w:cstheme="minorEastAsia" w:hint="eastAsia"/>
                <w:szCs w:val="21"/>
              </w:rPr>
              <w:t>）</w:t>
            </w:r>
            <w:r>
              <w:rPr>
                <w:rFonts w:asciiTheme="minorEastAsia" w:hAnsiTheme="minorEastAsia" w:cstheme="minorEastAsia" w:hint="eastAsia"/>
                <w:szCs w:val="21"/>
              </w:rPr>
              <w:t>.</w:t>
            </w:r>
            <w:r>
              <w:rPr>
                <w:rFonts w:asciiTheme="minorEastAsia" w:hAnsiTheme="minorEastAsia" w:cstheme="minorEastAsia" w:hint="eastAsia"/>
                <w:szCs w:val="21"/>
              </w:rPr>
              <w:t>稠油高含水堵调技术（</w:t>
            </w:r>
            <w:r>
              <w:rPr>
                <w:rFonts w:asciiTheme="minorEastAsia" w:hAnsiTheme="minorEastAsia" w:cstheme="minorEastAsia" w:hint="eastAsia"/>
                <w:szCs w:val="21"/>
              </w:rPr>
              <w:t>3</w:t>
            </w:r>
            <w:r>
              <w:rPr>
                <w:rFonts w:asciiTheme="minorEastAsia" w:hAnsiTheme="minorEastAsia" w:cstheme="minorEastAsia" w:hint="eastAsia"/>
                <w:szCs w:val="21"/>
              </w:rPr>
              <w:t>）稠油高含水堵调技术（</w:t>
            </w:r>
            <w:r>
              <w:rPr>
                <w:rFonts w:asciiTheme="minorEastAsia" w:hAnsiTheme="minorEastAsia" w:cstheme="minorEastAsia" w:hint="eastAsia"/>
                <w:szCs w:val="21"/>
              </w:rPr>
              <w:t>4</w:t>
            </w:r>
            <w:r>
              <w:rPr>
                <w:rFonts w:asciiTheme="minorEastAsia" w:hAnsiTheme="minorEastAsia" w:cstheme="minorEastAsia" w:hint="eastAsia"/>
                <w:szCs w:val="21"/>
              </w:rPr>
              <w:t>）深层低渗稠油油藏提高动用技术。</w:t>
            </w:r>
          </w:p>
          <w:p w14:paraId="6599E1D0" w14:textId="77777777" w:rsidR="00DC0623" w:rsidRDefault="00531347">
            <w:pPr>
              <w:numPr>
                <w:ilvl w:val="0"/>
                <w:numId w:val="1"/>
              </w:numPr>
              <w:rPr>
                <w:rFonts w:asciiTheme="minorEastAsia" w:hAnsiTheme="minorEastAsia" w:cstheme="minorEastAsia"/>
                <w:szCs w:val="21"/>
              </w:rPr>
            </w:pPr>
            <w:r>
              <w:rPr>
                <w:rFonts w:asciiTheme="minorEastAsia" w:hAnsiTheme="minorEastAsia" w:cstheme="minorEastAsia" w:hint="eastAsia"/>
                <w:szCs w:val="21"/>
              </w:rPr>
              <w:t>稀油方面：（</w:t>
            </w:r>
            <w:r>
              <w:rPr>
                <w:rFonts w:asciiTheme="minorEastAsia" w:hAnsiTheme="minorEastAsia" w:cstheme="minorEastAsia" w:hint="eastAsia"/>
                <w:szCs w:val="21"/>
              </w:rPr>
              <w:t>1</w:t>
            </w:r>
            <w:r>
              <w:rPr>
                <w:rFonts w:asciiTheme="minorEastAsia" w:hAnsiTheme="minorEastAsia" w:cstheme="minorEastAsia" w:hint="eastAsia"/>
                <w:szCs w:val="21"/>
              </w:rPr>
              <w:t>）低成本清防蜡技术（</w:t>
            </w:r>
            <w:r>
              <w:rPr>
                <w:rFonts w:asciiTheme="minorEastAsia" w:hAnsiTheme="minorEastAsia" w:cstheme="minorEastAsia" w:hint="eastAsia"/>
                <w:szCs w:val="21"/>
              </w:rPr>
              <w:t>2</w:t>
            </w:r>
            <w:r>
              <w:rPr>
                <w:rFonts w:asciiTheme="minorEastAsia" w:hAnsiTheme="minorEastAsia" w:cstheme="minorEastAsia" w:hint="eastAsia"/>
                <w:szCs w:val="21"/>
              </w:rPr>
              <w:t>）低渗油藏超高压注水技术（</w:t>
            </w:r>
            <w:r>
              <w:rPr>
                <w:rFonts w:asciiTheme="minorEastAsia" w:hAnsiTheme="minorEastAsia" w:cstheme="minorEastAsia" w:hint="eastAsia"/>
                <w:szCs w:val="21"/>
              </w:rPr>
              <w:t>3</w:t>
            </w:r>
            <w:r>
              <w:rPr>
                <w:rFonts w:asciiTheme="minorEastAsia" w:hAnsiTheme="minorEastAsia" w:cstheme="minorEastAsia" w:hint="eastAsia"/>
                <w:szCs w:val="21"/>
              </w:rPr>
              <w:t>）低能量油藏气体辅助开发技术（</w:t>
            </w:r>
            <w:r>
              <w:rPr>
                <w:rFonts w:asciiTheme="minorEastAsia" w:hAnsiTheme="minorEastAsia" w:cstheme="minorEastAsia" w:hint="eastAsia"/>
                <w:szCs w:val="21"/>
              </w:rPr>
              <w:t>4</w:t>
            </w:r>
            <w:r>
              <w:rPr>
                <w:rFonts w:asciiTheme="minorEastAsia" w:hAnsiTheme="minorEastAsia" w:cstheme="minorEastAsia" w:hint="eastAsia"/>
                <w:szCs w:val="21"/>
              </w:rPr>
              <w:t>）水驱转气驱，针对水驱效果差的油藏进行氮气驱油技术的可行性；注水无效、供液不足井进行气体吞吐的可行性。</w:t>
            </w:r>
          </w:p>
          <w:p w14:paraId="5B78D8BB" w14:textId="77777777" w:rsidR="00DC0623" w:rsidRDefault="00531347">
            <w:pPr>
              <w:numPr>
                <w:ilvl w:val="0"/>
                <w:numId w:val="1"/>
              </w:numPr>
              <w:rPr>
                <w:rFonts w:asciiTheme="minorEastAsia" w:hAnsiTheme="minorEastAsia" w:cstheme="minorEastAsia"/>
                <w:szCs w:val="21"/>
              </w:rPr>
            </w:pPr>
            <w:r>
              <w:rPr>
                <w:rFonts w:asciiTheme="minorEastAsia" w:hAnsiTheme="minorEastAsia" w:cstheme="minorEastAsia" w:hint="eastAsia"/>
                <w:szCs w:val="21"/>
              </w:rPr>
              <w:t>防腐厂目前所采用的防腐形式有</w:t>
            </w:r>
            <w:r>
              <w:rPr>
                <w:rFonts w:asciiTheme="minorEastAsia" w:hAnsiTheme="minorEastAsia" w:cstheme="minorEastAsia" w:hint="eastAsia"/>
                <w:szCs w:val="21"/>
              </w:rPr>
              <w:t>2</w:t>
            </w:r>
            <w:r>
              <w:rPr>
                <w:rFonts w:asciiTheme="minorEastAsia" w:hAnsiTheme="minorEastAsia" w:cstheme="minorEastAsia" w:hint="eastAsia"/>
                <w:szCs w:val="21"/>
              </w:rPr>
              <w:t>、</w:t>
            </w:r>
            <w:r>
              <w:rPr>
                <w:rFonts w:asciiTheme="minorEastAsia" w:hAnsiTheme="minorEastAsia" w:cstheme="minorEastAsia" w:hint="eastAsia"/>
                <w:szCs w:val="21"/>
              </w:rPr>
              <w:t>3</w:t>
            </w:r>
            <w:r>
              <w:rPr>
                <w:rFonts w:asciiTheme="minorEastAsia" w:hAnsiTheme="minorEastAsia" w:cstheme="minorEastAsia" w:hint="eastAsia"/>
                <w:szCs w:val="21"/>
              </w:rPr>
              <w:t>层</w:t>
            </w:r>
            <w:r>
              <w:rPr>
                <w:rFonts w:asciiTheme="minorEastAsia" w:hAnsiTheme="minorEastAsia" w:cstheme="minorEastAsia" w:hint="eastAsia"/>
                <w:szCs w:val="21"/>
              </w:rPr>
              <w:t>PE</w:t>
            </w:r>
            <w:r>
              <w:rPr>
                <w:rFonts w:asciiTheme="minorEastAsia" w:hAnsiTheme="minorEastAsia" w:cstheme="minorEastAsia" w:hint="eastAsia"/>
                <w:szCs w:val="21"/>
              </w:rPr>
              <w:t>，聚氨酯泡沫保温、玻璃鳞片内防、环氧粉末内防、超高分子量聚乙烯内防等，针对此次校企合作，提出如下问题，共同协商探讨：</w:t>
            </w:r>
          </w:p>
          <w:p w14:paraId="461F548D" w14:textId="77777777" w:rsidR="00DC0623" w:rsidRDefault="00531347">
            <w:pPr>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1</w:t>
            </w:r>
            <w:r>
              <w:rPr>
                <w:rFonts w:asciiTheme="minorEastAsia" w:hAnsiTheme="minorEastAsia" w:cstheme="minorEastAsia" w:hint="eastAsia"/>
                <w:szCs w:val="21"/>
              </w:rPr>
              <w:t>）目前采用玻璃鳞片内防涂料为油性涂料，有机溶剂的挥发不仅对人健康有害，还会污染环境。是否有新型的防腐材料，性能稳定，环保并易于管线内壁喷涂。</w:t>
            </w:r>
          </w:p>
          <w:p w14:paraId="3AFB7E2A" w14:textId="77777777" w:rsidR="00DC0623" w:rsidRDefault="00531347">
            <w:pPr>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2</w:t>
            </w:r>
            <w:r>
              <w:rPr>
                <w:rFonts w:asciiTheme="minorEastAsia" w:hAnsiTheme="minorEastAsia" w:cstheme="minorEastAsia" w:hint="eastAsia"/>
                <w:szCs w:val="21"/>
              </w:rPr>
              <w:t>）超高分子量聚乙烯内衬管具有良好的防腐蚀及抗磨性能，但是超高分子量自身具有热胀冷缩，成品管内内衬管会随温度的变化出现伸长或缩短现象，能否对超高分子量聚乙烯内衬管进行改性，降低其热膨胀系数。</w:t>
            </w:r>
          </w:p>
          <w:p w14:paraId="5D23DC09" w14:textId="77777777" w:rsidR="00DC0623" w:rsidRDefault="00531347">
            <w:pPr>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3</w:t>
            </w:r>
            <w:r>
              <w:rPr>
                <w:rFonts w:asciiTheme="minorEastAsia" w:hAnsiTheme="minorEastAsia" w:cstheme="minorEastAsia" w:hint="eastAsia"/>
                <w:szCs w:val="21"/>
              </w:rPr>
              <w:t>）小口径管线内防后预留焊接区，无法实现机械补口。堆焊</w:t>
            </w:r>
          </w:p>
          <w:p w14:paraId="43BD29C0" w14:textId="77777777" w:rsidR="00DC0623" w:rsidRDefault="00531347">
            <w:pPr>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4</w:t>
            </w:r>
            <w:r>
              <w:rPr>
                <w:rFonts w:asciiTheme="minorEastAsia" w:hAnsiTheme="minorEastAsia" w:cstheme="minorEastAsia" w:hint="eastAsia"/>
                <w:szCs w:val="21"/>
              </w:rPr>
              <w:t>）管线坡口使用的坡口刀为经过淬火处理的普通钢，使用寿命短并降低坡口效率，能否使用硬质合金或陶瓷刀。</w:t>
            </w:r>
          </w:p>
          <w:p w14:paraId="4AF7747B" w14:textId="77777777" w:rsidR="00DC0623" w:rsidRDefault="00531347">
            <w:pPr>
              <w:rPr>
                <w:rFonts w:asciiTheme="minorEastAsia" w:hAnsiTheme="minorEastAsia" w:cstheme="minorEastAsia"/>
                <w:szCs w:val="21"/>
              </w:rPr>
            </w:pPr>
            <w:r>
              <w:rPr>
                <w:rFonts w:asciiTheme="minorEastAsia" w:hAnsiTheme="minorEastAsia" w:cstheme="minorEastAsia" w:hint="eastAsia"/>
                <w:szCs w:val="21"/>
              </w:rPr>
              <w:t>7</w:t>
            </w:r>
            <w:r>
              <w:rPr>
                <w:rFonts w:asciiTheme="minorEastAsia" w:hAnsiTheme="minorEastAsia" w:cstheme="minorEastAsia" w:hint="eastAsia"/>
                <w:szCs w:val="21"/>
              </w:rPr>
              <w:t>、水套加</w:t>
            </w:r>
            <w:r>
              <w:rPr>
                <w:rFonts w:asciiTheme="minorEastAsia" w:hAnsiTheme="minorEastAsia" w:cstheme="minorEastAsia" w:hint="eastAsia"/>
                <w:szCs w:val="21"/>
              </w:rPr>
              <w:t>热炉。水套炉应用背景：</w:t>
            </w:r>
          </w:p>
          <w:p w14:paraId="123C6256" w14:textId="77777777" w:rsidR="00DC0623" w:rsidRDefault="00531347">
            <w:pPr>
              <w:rPr>
                <w:rFonts w:asciiTheme="minorEastAsia" w:hAnsiTheme="minorEastAsia" w:cstheme="minorEastAsia"/>
                <w:szCs w:val="21"/>
              </w:rPr>
            </w:pPr>
            <w:r>
              <w:rPr>
                <w:rFonts w:asciiTheme="minorEastAsia" w:hAnsiTheme="minorEastAsia" w:cstheme="minorEastAsia" w:hint="eastAsia"/>
                <w:szCs w:val="21"/>
              </w:rPr>
              <w:t>目前，油田所用的原油及污水升温加热炉主要以水套炉为主，燃料在水套炉火筒中燃烧后，产生的热能以辐射、对流等传热形式将热量传给水套中的水，使水的温度升高，并部分汽化，水及其蒸汽再将热量传递给油盘管中的原油，使油获得热量，温度升高。水套炉主要问题：</w:t>
            </w:r>
          </w:p>
          <w:p w14:paraId="319533F1" w14:textId="77777777" w:rsidR="00DC0623" w:rsidRDefault="00531347">
            <w:pPr>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1</w:t>
            </w:r>
            <w:r>
              <w:rPr>
                <w:rFonts w:asciiTheme="minorEastAsia" w:hAnsiTheme="minorEastAsia" w:cstheme="minorEastAsia" w:hint="eastAsia"/>
                <w:szCs w:val="21"/>
              </w:rPr>
              <w:t>）高耗能、热效率低：效率较低，可否通过改进内部结构，增加热效率。</w:t>
            </w:r>
          </w:p>
          <w:p w14:paraId="43F66EF4" w14:textId="77777777" w:rsidR="00DC0623" w:rsidRDefault="00531347">
            <w:pPr>
              <w:rPr>
                <w:rFonts w:asciiTheme="minorEastAsia" w:hAnsiTheme="minorEastAsia" w:cstheme="minorEastAsia"/>
                <w:szCs w:val="21"/>
              </w:rPr>
            </w:pPr>
            <w:r>
              <w:rPr>
                <w:rFonts w:asciiTheme="minorEastAsia" w:hAnsiTheme="minorEastAsia" w:cstheme="minorEastAsia" w:hint="eastAsia"/>
                <w:szCs w:val="21"/>
              </w:rPr>
              <w:lastRenderedPageBreak/>
              <w:t>（</w:t>
            </w:r>
            <w:r>
              <w:rPr>
                <w:rFonts w:asciiTheme="minorEastAsia" w:hAnsiTheme="minorEastAsia" w:cstheme="minorEastAsia" w:hint="eastAsia"/>
                <w:szCs w:val="21"/>
              </w:rPr>
              <w:t>2</w:t>
            </w:r>
            <w:r>
              <w:rPr>
                <w:rFonts w:asciiTheme="minorEastAsia" w:hAnsiTheme="minorEastAsia" w:cstheme="minorEastAsia" w:hint="eastAsia"/>
                <w:szCs w:val="21"/>
              </w:rPr>
              <w:t>）成本高，需要定期检查补水，单台按每月补水一次，所消耗车辆、人工费用庞大。可否用某种安全稳定、耐高温、导热性能好的固体或液体材料代替。（研究过蜂窝陶瓷导热炉。）</w:t>
            </w:r>
          </w:p>
          <w:p w14:paraId="600B6EA4" w14:textId="77777777" w:rsidR="00DC0623" w:rsidRDefault="00531347">
            <w:pPr>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3</w:t>
            </w:r>
            <w:r>
              <w:rPr>
                <w:rFonts w:asciiTheme="minorEastAsia" w:hAnsiTheme="minorEastAsia" w:cstheme="minorEastAsia" w:hint="eastAsia"/>
                <w:szCs w:val="21"/>
              </w:rPr>
              <w:t>）由于油田用气不合格，造成水套炉烟气排放不达标，达不到环保要求（烟尘颗粒物小于</w:t>
            </w:r>
            <w:r>
              <w:rPr>
                <w:rFonts w:asciiTheme="minorEastAsia" w:hAnsiTheme="minorEastAsia" w:cstheme="minorEastAsia" w:hint="eastAsia"/>
                <w:szCs w:val="21"/>
              </w:rPr>
              <w:t>10</w:t>
            </w:r>
            <w:r>
              <w:rPr>
                <w:rFonts w:asciiTheme="minorEastAsia" w:hAnsiTheme="minorEastAsia" w:cstheme="minorEastAsia" w:hint="eastAsia"/>
                <w:szCs w:val="21"/>
              </w:rPr>
              <w:t>毫克每立方，实际在</w:t>
            </w:r>
            <w:r>
              <w:rPr>
                <w:rFonts w:asciiTheme="minorEastAsia" w:hAnsiTheme="minorEastAsia" w:cstheme="minorEastAsia" w:hint="eastAsia"/>
                <w:szCs w:val="21"/>
              </w:rPr>
              <w:t>20-30</w:t>
            </w:r>
            <w:r>
              <w:rPr>
                <w:rFonts w:asciiTheme="minorEastAsia" w:hAnsiTheme="minorEastAsia" w:cstheme="minorEastAsia" w:hint="eastAsia"/>
                <w:szCs w:val="21"/>
              </w:rPr>
              <w:t>毫克每立方。二氧化硫小于</w:t>
            </w:r>
            <w:r>
              <w:rPr>
                <w:rFonts w:asciiTheme="minorEastAsia" w:hAnsiTheme="minorEastAsia" w:cstheme="minorEastAsia" w:hint="eastAsia"/>
                <w:szCs w:val="21"/>
              </w:rPr>
              <w:t>50</w:t>
            </w:r>
            <w:r>
              <w:rPr>
                <w:rFonts w:asciiTheme="minorEastAsia" w:hAnsiTheme="minorEastAsia" w:cstheme="minorEastAsia" w:hint="eastAsia"/>
                <w:szCs w:val="21"/>
              </w:rPr>
              <w:t>毫克每立方，实际在</w:t>
            </w:r>
            <w:r>
              <w:rPr>
                <w:rFonts w:asciiTheme="minorEastAsia" w:hAnsiTheme="minorEastAsia" w:cstheme="minorEastAsia" w:hint="eastAsia"/>
                <w:szCs w:val="21"/>
              </w:rPr>
              <w:t>200</w:t>
            </w:r>
            <w:r>
              <w:rPr>
                <w:rFonts w:asciiTheme="minorEastAsia" w:hAnsiTheme="minorEastAsia" w:cstheme="minorEastAsia" w:hint="eastAsia"/>
                <w:szCs w:val="21"/>
              </w:rPr>
              <w:t>毫克每立方。氮氧化物小于</w:t>
            </w:r>
            <w:r>
              <w:rPr>
                <w:rFonts w:asciiTheme="minorEastAsia" w:hAnsiTheme="minorEastAsia" w:cstheme="minorEastAsia" w:hint="eastAsia"/>
                <w:szCs w:val="21"/>
              </w:rPr>
              <w:t>200</w:t>
            </w:r>
            <w:r>
              <w:rPr>
                <w:rFonts w:asciiTheme="minorEastAsia" w:hAnsiTheme="minorEastAsia" w:cstheme="minorEastAsia" w:hint="eastAsia"/>
                <w:szCs w:val="21"/>
              </w:rPr>
              <w:t>毫克每立方，实际在</w:t>
            </w:r>
            <w:r>
              <w:rPr>
                <w:rFonts w:asciiTheme="minorEastAsia" w:hAnsiTheme="minorEastAsia" w:cstheme="minorEastAsia" w:hint="eastAsia"/>
                <w:szCs w:val="21"/>
              </w:rPr>
              <w:t>300</w:t>
            </w:r>
            <w:r>
              <w:rPr>
                <w:rFonts w:asciiTheme="minorEastAsia" w:hAnsiTheme="minorEastAsia" w:cstheme="minorEastAsia" w:hint="eastAsia"/>
                <w:szCs w:val="21"/>
              </w:rPr>
              <w:t>毫克每立方。），目前有低氮燃烧器可以解决，还有没有其他简易低成本的净化烟气、达到标准的方式。</w:t>
            </w:r>
          </w:p>
          <w:p w14:paraId="31A067EA" w14:textId="77777777" w:rsidR="00DC0623" w:rsidRDefault="00531347">
            <w:pPr>
              <w:rPr>
                <w:rFonts w:asciiTheme="minorEastAsia" w:hAnsiTheme="minorEastAsia" w:cstheme="minorEastAsia"/>
                <w:szCs w:val="21"/>
              </w:rPr>
            </w:pPr>
            <w:r>
              <w:rPr>
                <w:rFonts w:asciiTheme="minorEastAsia" w:hAnsiTheme="minorEastAsia" w:cstheme="minorEastAsia" w:hint="eastAsia"/>
                <w:szCs w:val="21"/>
              </w:rPr>
              <w:t>8</w:t>
            </w:r>
            <w:r>
              <w:rPr>
                <w:rFonts w:asciiTheme="minorEastAsia" w:hAnsiTheme="minorEastAsia" w:cstheme="minorEastAsia" w:hint="eastAsia"/>
                <w:szCs w:val="21"/>
              </w:rPr>
              <w:t>、医药、农药中间体的制备；公司</w:t>
            </w:r>
            <w:r>
              <w:rPr>
                <w:rFonts w:asciiTheme="minorEastAsia" w:hAnsiTheme="minorEastAsia" w:cstheme="minorEastAsia" w:hint="eastAsia"/>
                <w:szCs w:val="21"/>
              </w:rPr>
              <w:t>目前有液化气、轻油芳构化装置、油品加氢装置、</w:t>
            </w:r>
            <w:r>
              <w:rPr>
                <w:rFonts w:asciiTheme="minorEastAsia" w:hAnsiTheme="minorEastAsia" w:cstheme="minorEastAsia" w:hint="eastAsia"/>
                <w:szCs w:val="21"/>
              </w:rPr>
              <w:t>MTBE</w:t>
            </w:r>
            <w:r>
              <w:rPr>
                <w:rFonts w:asciiTheme="minorEastAsia" w:hAnsiTheme="minorEastAsia" w:cstheme="minorEastAsia" w:hint="eastAsia"/>
                <w:szCs w:val="21"/>
              </w:rPr>
              <w:t>装置、高纯异丁烯装置及</w:t>
            </w:r>
            <w:r>
              <w:rPr>
                <w:rFonts w:asciiTheme="minorEastAsia" w:hAnsiTheme="minorEastAsia" w:cstheme="minorEastAsia" w:hint="eastAsia"/>
                <w:szCs w:val="21"/>
              </w:rPr>
              <w:t>C4</w:t>
            </w:r>
            <w:r>
              <w:rPr>
                <w:rFonts w:asciiTheme="minorEastAsia" w:hAnsiTheme="minorEastAsia" w:cstheme="minorEastAsia" w:hint="eastAsia"/>
                <w:szCs w:val="21"/>
              </w:rPr>
              <w:t>烯烃异构化装置，目前正考虑在目前产业结构的基础上，能否增加下游医药、农药中间体的制备，以增加产品价值。</w:t>
            </w:r>
          </w:p>
        </w:tc>
      </w:tr>
      <w:tr w:rsidR="00DC0623" w14:paraId="7B2AB17D" w14:textId="77777777">
        <w:trPr>
          <w:trHeight w:val="1503"/>
        </w:trPr>
        <w:tc>
          <w:tcPr>
            <w:tcW w:w="2518" w:type="dxa"/>
            <w:vAlign w:val="center"/>
          </w:tcPr>
          <w:p w14:paraId="527E6C53" w14:textId="77777777" w:rsidR="00DC0623" w:rsidRDefault="00531347">
            <w:pPr>
              <w:jc w:val="center"/>
              <w:rPr>
                <w:rFonts w:asciiTheme="minorEastAsia" w:hAnsiTheme="minorEastAsia" w:cstheme="minorEastAsia"/>
                <w:sz w:val="32"/>
                <w:szCs w:val="32"/>
              </w:rPr>
            </w:pPr>
            <w:r>
              <w:rPr>
                <w:rFonts w:asciiTheme="minorEastAsia" w:hAnsiTheme="minorEastAsia" w:cstheme="minorEastAsia" w:hint="eastAsia"/>
                <w:sz w:val="32"/>
                <w:szCs w:val="32"/>
              </w:rPr>
              <w:lastRenderedPageBreak/>
              <w:t>是否有意向</w:t>
            </w:r>
          </w:p>
          <w:p w14:paraId="570E90EE" w14:textId="77777777" w:rsidR="00DC0623" w:rsidRDefault="00531347">
            <w:pPr>
              <w:jc w:val="center"/>
              <w:rPr>
                <w:rFonts w:asciiTheme="minorEastAsia" w:hAnsiTheme="minorEastAsia" w:cstheme="minorEastAsia"/>
                <w:sz w:val="32"/>
                <w:szCs w:val="32"/>
              </w:rPr>
            </w:pPr>
            <w:r>
              <w:rPr>
                <w:rFonts w:asciiTheme="minorEastAsia" w:hAnsiTheme="minorEastAsia" w:cstheme="minorEastAsia" w:hint="eastAsia"/>
                <w:sz w:val="32"/>
                <w:szCs w:val="32"/>
              </w:rPr>
              <w:t>人选</w:t>
            </w:r>
          </w:p>
        </w:tc>
        <w:tc>
          <w:tcPr>
            <w:tcW w:w="3260" w:type="dxa"/>
            <w:gridSpan w:val="2"/>
            <w:vAlign w:val="center"/>
          </w:tcPr>
          <w:p w14:paraId="64DAE010" w14:textId="77777777" w:rsidR="00DC0623" w:rsidRDefault="00531347">
            <w:pPr>
              <w:jc w:val="center"/>
              <w:rPr>
                <w:rFonts w:asciiTheme="minorEastAsia" w:hAnsiTheme="minorEastAsia" w:cstheme="minorEastAsia"/>
                <w:sz w:val="32"/>
                <w:szCs w:val="32"/>
              </w:rPr>
            </w:pPr>
            <w:r>
              <w:rPr>
                <w:rFonts w:asciiTheme="minorEastAsia" w:hAnsiTheme="minorEastAsia" w:cstheme="minorEastAsia" w:hint="eastAsia"/>
                <w:sz w:val="28"/>
                <w:szCs w:val="28"/>
              </w:rPr>
              <w:t>无</w:t>
            </w:r>
          </w:p>
        </w:tc>
        <w:tc>
          <w:tcPr>
            <w:tcW w:w="1843" w:type="dxa"/>
            <w:gridSpan w:val="2"/>
            <w:vAlign w:val="center"/>
          </w:tcPr>
          <w:p w14:paraId="3BD2AB57" w14:textId="77777777" w:rsidR="00DC0623" w:rsidRDefault="00531347">
            <w:pPr>
              <w:jc w:val="center"/>
              <w:rPr>
                <w:rFonts w:asciiTheme="minorEastAsia" w:hAnsiTheme="minorEastAsia" w:cstheme="minorEastAsia"/>
                <w:sz w:val="32"/>
                <w:szCs w:val="32"/>
              </w:rPr>
            </w:pPr>
            <w:r>
              <w:rPr>
                <w:rFonts w:asciiTheme="minorEastAsia" w:hAnsiTheme="minorEastAsia" w:cstheme="minorEastAsia" w:hint="eastAsia"/>
                <w:sz w:val="32"/>
                <w:szCs w:val="32"/>
              </w:rPr>
              <w:t>意向人选</w:t>
            </w:r>
          </w:p>
          <w:p w14:paraId="1C04072B" w14:textId="77777777" w:rsidR="00DC0623" w:rsidRDefault="00531347">
            <w:pPr>
              <w:jc w:val="center"/>
              <w:rPr>
                <w:rFonts w:asciiTheme="minorEastAsia" w:hAnsiTheme="minorEastAsia" w:cstheme="minorEastAsia"/>
                <w:sz w:val="32"/>
                <w:szCs w:val="32"/>
              </w:rPr>
            </w:pPr>
            <w:r>
              <w:rPr>
                <w:rFonts w:asciiTheme="minorEastAsia" w:hAnsiTheme="minorEastAsia" w:cstheme="minorEastAsia" w:hint="eastAsia"/>
                <w:sz w:val="32"/>
                <w:szCs w:val="32"/>
              </w:rPr>
              <w:t>姓名</w:t>
            </w:r>
          </w:p>
        </w:tc>
        <w:tc>
          <w:tcPr>
            <w:tcW w:w="2207" w:type="dxa"/>
            <w:vAlign w:val="center"/>
          </w:tcPr>
          <w:p w14:paraId="6193B8F0" w14:textId="77777777" w:rsidR="00DC0623" w:rsidRDefault="00531347">
            <w:pPr>
              <w:jc w:val="center"/>
              <w:rPr>
                <w:rFonts w:asciiTheme="minorEastAsia" w:hAnsiTheme="minorEastAsia" w:cstheme="minorEastAsia"/>
                <w:sz w:val="32"/>
                <w:szCs w:val="32"/>
              </w:rPr>
            </w:pPr>
            <w:r>
              <w:rPr>
                <w:rFonts w:asciiTheme="minorEastAsia" w:hAnsiTheme="minorEastAsia" w:cstheme="minorEastAsia" w:hint="eastAsia"/>
                <w:sz w:val="28"/>
                <w:szCs w:val="28"/>
              </w:rPr>
              <w:t>无</w:t>
            </w:r>
          </w:p>
        </w:tc>
      </w:tr>
      <w:tr w:rsidR="00DC0623" w14:paraId="2B874786" w14:textId="77777777">
        <w:trPr>
          <w:trHeight w:val="1503"/>
        </w:trPr>
        <w:tc>
          <w:tcPr>
            <w:tcW w:w="2518" w:type="dxa"/>
            <w:vAlign w:val="center"/>
          </w:tcPr>
          <w:p w14:paraId="2FE8149A" w14:textId="77777777" w:rsidR="00DC0623" w:rsidRDefault="00531347">
            <w:pPr>
              <w:jc w:val="center"/>
              <w:rPr>
                <w:rFonts w:asciiTheme="minorEastAsia" w:hAnsiTheme="minorEastAsia" w:cstheme="minorEastAsia"/>
                <w:sz w:val="32"/>
                <w:szCs w:val="32"/>
              </w:rPr>
            </w:pPr>
            <w:r>
              <w:rPr>
                <w:rFonts w:asciiTheme="minorEastAsia" w:hAnsiTheme="minorEastAsia" w:cstheme="minorEastAsia" w:hint="eastAsia"/>
                <w:sz w:val="32"/>
                <w:szCs w:val="32"/>
              </w:rPr>
              <w:t>意向合作方式</w:t>
            </w:r>
          </w:p>
        </w:tc>
        <w:tc>
          <w:tcPr>
            <w:tcW w:w="7310" w:type="dxa"/>
            <w:gridSpan w:val="5"/>
            <w:vAlign w:val="center"/>
          </w:tcPr>
          <w:p w14:paraId="756B2C16" w14:textId="77777777" w:rsidR="00DC0623" w:rsidRDefault="00531347">
            <w:pPr>
              <w:jc w:val="center"/>
              <w:rPr>
                <w:rFonts w:asciiTheme="minorEastAsia" w:hAnsiTheme="minorEastAsia" w:cstheme="minorEastAsia"/>
                <w:sz w:val="32"/>
                <w:szCs w:val="32"/>
              </w:rPr>
            </w:pPr>
            <w:r>
              <w:rPr>
                <w:rFonts w:asciiTheme="minorEastAsia" w:hAnsiTheme="minorEastAsia" w:cstheme="minorEastAsia" w:hint="eastAsia"/>
                <w:sz w:val="28"/>
                <w:szCs w:val="28"/>
              </w:rPr>
              <w:t>多种形式</w:t>
            </w:r>
          </w:p>
        </w:tc>
      </w:tr>
      <w:tr w:rsidR="00DC0623" w14:paraId="784CB6AE" w14:textId="77777777">
        <w:trPr>
          <w:trHeight w:val="1532"/>
        </w:trPr>
        <w:tc>
          <w:tcPr>
            <w:tcW w:w="2518" w:type="dxa"/>
            <w:vAlign w:val="center"/>
          </w:tcPr>
          <w:p w14:paraId="7FCF9925" w14:textId="77777777" w:rsidR="00DC0623" w:rsidRDefault="00531347">
            <w:pPr>
              <w:jc w:val="center"/>
              <w:rPr>
                <w:rFonts w:asciiTheme="minorEastAsia" w:hAnsiTheme="minorEastAsia" w:cstheme="minorEastAsia"/>
                <w:sz w:val="32"/>
                <w:szCs w:val="32"/>
              </w:rPr>
            </w:pPr>
            <w:r>
              <w:rPr>
                <w:rFonts w:asciiTheme="minorEastAsia" w:hAnsiTheme="minorEastAsia" w:cstheme="minorEastAsia" w:hint="eastAsia"/>
                <w:sz w:val="32"/>
                <w:szCs w:val="32"/>
              </w:rPr>
              <w:t>备注</w:t>
            </w:r>
          </w:p>
        </w:tc>
        <w:tc>
          <w:tcPr>
            <w:tcW w:w="7310" w:type="dxa"/>
            <w:gridSpan w:val="5"/>
            <w:vAlign w:val="center"/>
          </w:tcPr>
          <w:p w14:paraId="5A332CDB" w14:textId="77777777" w:rsidR="00DC0623" w:rsidRDefault="00DC0623">
            <w:pPr>
              <w:jc w:val="center"/>
              <w:rPr>
                <w:rFonts w:asciiTheme="minorEastAsia" w:hAnsiTheme="minorEastAsia" w:cstheme="minorEastAsia"/>
                <w:sz w:val="32"/>
                <w:szCs w:val="32"/>
              </w:rPr>
            </w:pPr>
          </w:p>
        </w:tc>
      </w:tr>
    </w:tbl>
    <w:p w14:paraId="32092B58" w14:textId="77777777" w:rsidR="00DC0623" w:rsidRDefault="00531347">
      <w:pPr>
        <w:rPr>
          <w:b/>
          <w:bCs/>
          <w:sz w:val="44"/>
          <w:szCs w:val="44"/>
        </w:rPr>
      </w:pPr>
      <w:r>
        <w:rPr>
          <w:rFonts w:hint="eastAsia"/>
          <w:b/>
          <w:bCs/>
          <w:sz w:val="44"/>
          <w:szCs w:val="44"/>
        </w:rPr>
        <w:t xml:space="preserve"> </w:t>
      </w:r>
      <w:r>
        <w:rPr>
          <w:rFonts w:hint="eastAsia"/>
          <w:b/>
          <w:bCs/>
          <w:sz w:val="44"/>
          <w:szCs w:val="44"/>
        </w:rPr>
        <w:t>附：企业情况介绍</w:t>
      </w:r>
    </w:p>
    <w:p w14:paraId="24D0ABCF" w14:textId="77777777" w:rsidR="00DC0623" w:rsidRDefault="00531347">
      <w:pPr>
        <w:ind w:right="160"/>
        <w:jc w:val="right"/>
        <w:rPr>
          <w:sz w:val="32"/>
          <w:szCs w:val="32"/>
        </w:rPr>
      </w:pPr>
      <w:r>
        <w:rPr>
          <w:rFonts w:hint="eastAsia"/>
          <w:sz w:val="32"/>
          <w:szCs w:val="32"/>
        </w:rPr>
        <w:t>山东院士专家联合会</w:t>
      </w:r>
    </w:p>
    <w:p w14:paraId="745BD9B2" w14:textId="77777777" w:rsidR="00DC0623" w:rsidRDefault="00DC0623">
      <w:pPr>
        <w:ind w:right="160"/>
        <w:jc w:val="right"/>
        <w:rPr>
          <w:sz w:val="32"/>
          <w:szCs w:val="32"/>
        </w:rPr>
      </w:pPr>
    </w:p>
    <w:p w14:paraId="02BB7608" w14:textId="77777777" w:rsidR="00DC0623" w:rsidRDefault="00531347">
      <w:pPr>
        <w:spacing w:line="360" w:lineRule="auto"/>
        <w:rPr>
          <w:sz w:val="32"/>
          <w:szCs w:val="32"/>
        </w:rPr>
      </w:pPr>
      <w:r>
        <w:rPr>
          <w:rFonts w:hint="eastAsia"/>
          <w:sz w:val="32"/>
          <w:szCs w:val="32"/>
        </w:rPr>
        <w:t>附件：</w:t>
      </w:r>
    </w:p>
    <w:p w14:paraId="6CABC7D4" w14:textId="77777777" w:rsidR="00DC0623" w:rsidRDefault="00531347">
      <w:pPr>
        <w:spacing w:line="360" w:lineRule="auto"/>
        <w:ind w:firstLineChars="200" w:firstLine="562"/>
        <w:jc w:val="center"/>
        <w:rPr>
          <w:rFonts w:asciiTheme="minorEastAsia" w:hAnsiTheme="minorEastAsia"/>
          <w:b/>
          <w:sz w:val="28"/>
          <w:szCs w:val="28"/>
        </w:rPr>
      </w:pPr>
      <w:r>
        <w:rPr>
          <w:rFonts w:asciiTheme="minorEastAsia" w:hAnsiTheme="minorEastAsia" w:hint="eastAsia"/>
          <w:b/>
          <w:sz w:val="28"/>
          <w:szCs w:val="28"/>
        </w:rPr>
        <w:t>胜利通海简介</w:t>
      </w:r>
    </w:p>
    <w:p w14:paraId="151DEF54" w14:textId="77777777" w:rsidR="00DC0623" w:rsidRDefault="00531347">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胜利通海油田服务股份有限公司（以下简称胜利通海）是一家专注于为油田开发建设提供各类解决方案的专业化油田生产服务型企业，于二</w:t>
      </w:r>
      <w:r>
        <w:rPr>
          <w:rFonts w:asciiTheme="minorEastAsia" w:hAnsiTheme="minorEastAsia" w:hint="eastAsia"/>
          <w:sz w:val="28"/>
          <w:szCs w:val="28"/>
        </w:rPr>
        <w:t>OO</w:t>
      </w:r>
      <w:r>
        <w:rPr>
          <w:rFonts w:asciiTheme="minorEastAsia" w:hAnsiTheme="minorEastAsia" w:hint="eastAsia"/>
          <w:sz w:val="28"/>
          <w:szCs w:val="28"/>
        </w:rPr>
        <w:t>四年六月改制成立，改制前为隶属于胜利油田的多种经营企业。</w:t>
      </w:r>
    </w:p>
    <w:p w14:paraId="387335DE" w14:textId="77777777" w:rsidR="00DC0623" w:rsidRDefault="00531347">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胜利通海本部注册资金</w:t>
      </w:r>
      <w:r>
        <w:rPr>
          <w:rFonts w:asciiTheme="minorEastAsia" w:hAnsiTheme="minorEastAsia" w:hint="eastAsia"/>
          <w:sz w:val="28"/>
          <w:szCs w:val="28"/>
        </w:rPr>
        <w:t>4048</w:t>
      </w:r>
      <w:r>
        <w:rPr>
          <w:rFonts w:asciiTheme="minorEastAsia" w:hAnsiTheme="minorEastAsia" w:hint="eastAsia"/>
          <w:sz w:val="28"/>
          <w:szCs w:val="28"/>
        </w:rPr>
        <w:t>万元，现有九个控股子公司、五个直属单</w:t>
      </w:r>
      <w:r>
        <w:rPr>
          <w:rFonts w:asciiTheme="minorEastAsia" w:hAnsiTheme="minorEastAsia" w:hint="eastAsia"/>
          <w:sz w:val="28"/>
          <w:szCs w:val="28"/>
        </w:rPr>
        <w:lastRenderedPageBreak/>
        <w:t>位，拥有员工一千三百余人。公司可从事油田地面建设、工业工程安装、油田数字化建设、各类油水井技术与服务、油田专用电器设备供应及维护保障、油田特种车辆及普通车辆运输服务等业务，是中石化一级网络供应商，既可以为客户提供单一业务的技术、产品及服务，也可以提供合同能源管理等油田一体化整装总承包服务。近年来，胜利通海致力于节能降耗、环境保护和资源综合利用工作，拥有现阶段各类油田节能环保措施方案，具有油井直流母线群控技术、余热利用技术等近</w:t>
      </w:r>
      <w:r>
        <w:rPr>
          <w:rFonts w:asciiTheme="minorEastAsia" w:hAnsiTheme="minorEastAsia" w:hint="eastAsia"/>
          <w:sz w:val="28"/>
          <w:szCs w:val="28"/>
        </w:rPr>
        <w:t>50</w:t>
      </w:r>
      <w:r>
        <w:rPr>
          <w:rFonts w:asciiTheme="minorEastAsia" w:hAnsiTheme="minorEastAsia" w:hint="eastAsia"/>
          <w:sz w:val="28"/>
          <w:szCs w:val="28"/>
        </w:rPr>
        <w:t>项专利技术。</w:t>
      </w:r>
    </w:p>
    <w:p w14:paraId="36E66303" w14:textId="77777777" w:rsidR="00DC0623" w:rsidRDefault="00531347">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在</w:t>
      </w:r>
      <w:r>
        <w:rPr>
          <w:rFonts w:asciiTheme="minorEastAsia" w:hAnsiTheme="minorEastAsia" w:hint="eastAsia"/>
          <w:sz w:val="28"/>
          <w:szCs w:val="28"/>
        </w:rPr>
        <w:t>多年的生产经营过程中，胜利通海始终坚持“诚信为本，真情共赢”的企业核心价值观，“为客户创造价值，为社会创造财富，为股东创造回报，为员工创造前途”，被评为国家级守合同重信用企业。</w:t>
      </w:r>
    </w:p>
    <w:p w14:paraId="3F712A01" w14:textId="77777777" w:rsidR="00DC0623" w:rsidRDefault="00DC0623">
      <w:pPr>
        <w:ind w:right="160"/>
        <w:rPr>
          <w:sz w:val="32"/>
          <w:szCs w:val="32"/>
        </w:rPr>
      </w:pPr>
    </w:p>
    <w:sectPr w:rsidR="00DC0623">
      <w:pgSz w:w="11906" w:h="16838"/>
      <w:pgMar w:top="1440" w:right="106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6F23E" w14:textId="77777777" w:rsidR="00531347" w:rsidRDefault="00531347" w:rsidP="00F041A9">
      <w:r>
        <w:separator/>
      </w:r>
    </w:p>
  </w:endnote>
  <w:endnote w:type="continuationSeparator" w:id="0">
    <w:p w14:paraId="74226031" w14:textId="77777777" w:rsidR="00531347" w:rsidRDefault="00531347" w:rsidP="00F0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F70FD" w14:textId="77777777" w:rsidR="00531347" w:rsidRDefault="00531347" w:rsidP="00F041A9">
      <w:r>
        <w:separator/>
      </w:r>
    </w:p>
  </w:footnote>
  <w:footnote w:type="continuationSeparator" w:id="0">
    <w:p w14:paraId="21A82789" w14:textId="77777777" w:rsidR="00531347" w:rsidRDefault="00531347" w:rsidP="00F04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35C2009"/>
    <w:multiLevelType w:val="singleLevel"/>
    <w:tmpl w:val="D35C2009"/>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CF5"/>
    <w:rsid w:val="000D6D06"/>
    <w:rsid w:val="00256193"/>
    <w:rsid w:val="00531347"/>
    <w:rsid w:val="00550A32"/>
    <w:rsid w:val="005B3CF5"/>
    <w:rsid w:val="007B21A2"/>
    <w:rsid w:val="00B33F20"/>
    <w:rsid w:val="00DC0623"/>
    <w:rsid w:val="00F041A9"/>
    <w:rsid w:val="03086986"/>
    <w:rsid w:val="05D2032B"/>
    <w:rsid w:val="0B322B82"/>
    <w:rsid w:val="0B3A5FED"/>
    <w:rsid w:val="0E2B4990"/>
    <w:rsid w:val="13C62121"/>
    <w:rsid w:val="162F1250"/>
    <w:rsid w:val="184232BC"/>
    <w:rsid w:val="1BED7A70"/>
    <w:rsid w:val="22600C4E"/>
    <w:rsid w:val="22A04135"/>
    <w:rsid w:val="25CE0A22"/>
    <w:rsid w:val="2E8151AB"/>
    <w:rsid w:val="302E1491"/>
    <w:rsid w:val="36C142A9"/>
    <w:rsid w:val="3C9D462B"/>
    <w:rsid w:val="45954EEA"/>
    <w:rsid w:val="4648194C"/>
    <w:rsid w:val="46512301"/>
    <w:rsid w:val="4A871B70"/>
    <w:rsid w:val="4C4238EA"/>
    <w:rsid w:val="4FF05B1A"/>
    <w:rsid w:val="535361F1"/>
    <w:rsid w:val="61B638E7"/>
    <w:rsid w:val="63317855"/>
    <w:rsid w:val="662C66A6"/>
    <w:rsid w:val="67C2773C"/>
    <w:rsid w:val="6E2251FB"/>
    <w:rsid w:val="786E166C"/>
    <w:rsid w:val="798C1625"/>
    <w:rsid w:val="7E4B4497"/>
    <w:rsid w:val="7F360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06AF4"/>
  <w15:docId w15:val="{0E7488E2-52F9-40FF-ABAB-BF665EA3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258</Words>
  <Characters>1475</Characters>
  <Application>Microsoft Office Word</Application>
  <DocSecurity>0</DocSecurity>
  <Lines>12</Lines>
  <Paragraphs>3</Paragraphs>
  <ScaleCrop>false</ScaleCrop>
  <Company>DSQ.com</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ypc</dc:creator>
  <cp:lastModifiedBy>DH</cp:lastModifiedBy>
  <cp:revision>5</cp:revision>
  <dcterms:created xsi:type="dcterms:W3CDTF">2020-03-03T01:51:00Z</dcterms:created>
  <dcterms:modified xsi:type="dcterms:W3CDTF">2020-04-02T06:41:00Z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